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3B" w:rsidRDefault="005E6A3B">
      <w:pPr>
        <w:jc w:val="center"/>
        <w:rPr>
          <w:rFonts w:ascii="Arial Narrow" w:hAnsi="Arial Narrow" w:cs="Arial Narrow"/>
          <w:b/>
          <w:bCs/>
          <w:i/>
          <w:iCs/>
          <w:color w:val="000000"/>
          <w:sz w:val="50"/>
          <w:szCs w:val="50"/>
          <w:u w:val="single"/>
        </w:rPr>
      </w:pPr>
      <w:r>
        <w:rPr>
          <w:rFonts w:ascii="Arial Narrow" w:hAnsi="Arial Narrow" w:cs="Arial Narrow"/>
          <w:b/>
          <w:bCs/>
          <w:i/>
          <w:iCs/>
          <w:color w:val="000000"/>
          <w:sz w:val="50"/>
          <w:szCs w:val="50"/>
          <w:u w:val="single"/>
        </w:rPr>
        <w:t>TŰZVÉDELMI HÁZIREND</w:t>
      </w:r>
    </w:p>
    <w:p w:rsidR="005E6A3B" w:rsidRDefault="005E6A3B">
      <w:pPr>
        <w:widowControl w:val="0"/>
        <w:jc w:val="center"/>
        <w:rPr>
          <w:rFonts w:ascii="Cambria" w:hAnsi="Cambria" w:cs="Cambria"/>
          <w:sz w:val="36"/>
          <w:szCs w:val="36"/>
        </w:rPr>
      </w:pPr>
    </w:p>
    <w:p w:rsidR="005E6A3B" w:rsidRDefault="005E6A3B">
      <w:pPr>
        <w:widowControl w:val="0"/>
        <w:spacing w:before="40" w:after="40"/>
        <w:jc w:val="center"/>
        <w:rPr>
          <w:rFonts w:ascii="Times New Roman" w:hAnsi="Times New Roman" w:cs="Times New Roman"/>
          <w:sz w:val="24"/>
          <w:szCs w:val="24"/>
        </w:rPr>
      </w:pPr>
      <w:r>
        <w:rPr>
          <w:rFonts w:ascii="Arial Narrow" w:hAnsi="Arial Narrow" w:cs="Arial Narrow"/>
          <w:sz w:val="24"/>
          <w:szCs w:val="24"/>
        </w:rPr>
        <w:t>Az Óceán Lakásfenntartó Szövetkezet kezelésében lévő épületek:</w:t>
      </w:r>
    </w:p>
    <w:p w:rsidR="005E6A3B" w:rsidRDefault="005E6A3B">
      <w:pPr>
        <w:widowControl w:val="0"/>
        <w:spacing w:before="40" w:after="40"/>
        <w:jc w:val="center"/>
        <w:rPr>
          <w:rFonts w:ascii="Arial Narrow" w:hAnsi="Arial Narrow" w:cs="Arial Narrow"/>
          <w:sz w:val="24"/>
          <w:szCs w:val="24"/>
        </w:rPr>
      </w:pPr>
      <w:r>
        <w:rPr>
          <w:rFonts w:ascii="Arial Narrow" w:hAnsi="Arial Narrow" w:cs="Arial Narrow"/>
          <w:sz w:val="24"/>
          <w:szCs w:val="24"/>
        </w:rPr>
        <w:t>Óceánárok utca 9-23</w:t>
      </w:r>
    </w:p>
    <w:p w:rsidR="005E6A3B" w:rsidRDefault="005E6A3B">
      <w:pPr>
        <w:widowControl w:val="0"/>
        <w:spacing w:before="40" w:after="40"/>
        <w:jc w:val="center"/>
        <w:rPr>
          <w:rFonts w:ascii="Arial Narrow" w:hAnsi="Arial Narrow" w:cs="Arial Narrow"/>
          <w:sz w:val="24"/>
          <w:szCs w:val="24"/>
        </w:rPr>
      </w:pPr>
      <w:r>
        <w:rPr>
          <w:rFonts w:ascii="Arial Narrow" w:hAnsi="Arial Narrow" w:cs="Arial Narrow"/>
          <w:sz w:val="24"/>
          <w:szCs w:val="24"/>
        </w:rPr>
        <w:t>Falemez utca 1-3-5-7-9-11, 2-24</w:t>
      </w:r>
    </w:p>
    <w:p w:rsidR="005E6A3B" w:rsidRDefault="005E6A3B">
      <w:pPr>
        <w:widowControl w:val="0"/>
        <w:spacing w:before="40" w:after="40"/>
        <w:jc w:val="center"/>
        <w:rPr>
          <w:rFonts w:ascii="Arial Narrow" w:hAnsi="Arial Narrow" w:cs="Arial Narrow"/>
          <w:sz w:val="24"/>
          <w:szCs w:val="24"/>
        </w:rPr>
      </w:pPr>
      <w:r>
        <w:rPr>
          <w:rFonts w:ascii="Arial Narrow" w:hAnsi="Arial Narrow" w:cs="Arial Narrow"/>
          <w:sz w:val="24"/>
          <w:szCs w:val="24"/>
        </w:rPr>
        <w:t>Intarzia utca 7-21,16-28</w:t>
      </w:r>
    </w:p>
    <w:p w:rsidR="005E6A3B" w:rsidRDefault="005E6A3B">
      <w:pPr>
        <w:widowControl w:val="0"/>
        <w:spacing w:before="40" w:after="40"/>
        <w:jc w:val="center"/>
        <w:rPr>
          <w:rFonts w:ascii="Arial Narrow" w:hAnsi="Arial Narrow" w:cs="Arial Narrow"/>
          <w:sz w:val="24"/>
          <w:szCs w:val="24"/>
        </w:rPr>
      </w:pPr>
      <w:r>
        <w:rPr>
          <w:rFonts w:ascii="Arial Narrow" w:hAnsi="Arial Narrow" w:cs="Arial Narrow"/>
          <w:sz w:val="24"/>
          <w:szCs w:val="24"/>
        </w:rPr>
        <w:t>Pácoló utca 1-5</w:t>
      </w:r>
    </w:p>
    <w:p w:rsidR="005E6A3B" w:rsidRDefault="005E6A3B">
      <w:pPr>
        <w:spacing w:before="40" w:after="40" w:line="317" w:lineRule="auto"/>
        <w:ind w:left="2170" w:right="2174"/>
        <w:jc w:val="center"/>
        <w:rPr>
          <w:rFonts w:ascii="Times New Roman" w:hAnsi="Times New Roman" w:cs="Times New Roman"/>
          <w:b/>
          <w:bCs/>
          <w:i/>
          <w:iCs/>
          <w:color w:val="000000"/>
          <w:sz w:val="24"/>
          <w:szCs w:val="24"/>
        </w:rPr>
      </w:pPr>
      <w:r>
        <w:rPr>
          <w:rFonts w:ascii="Arial Narrow" w:hAnsi="Arial Narrow" w:cs="Arial Narrow"/>
          <w:sz w:val="24"/>
          <w:szCs w:val="24"/>
        </w:rPr>
        <w:t>Hajló utca 21-23, 37-47</w:t>
      </w:r>
    </w:p>
    <w:p w:rsidR="005E6A3B" w:rsidRDefault="005E6A3B">
      <w:pPr>
        <w:jc w:val="both"/>
        <w:rPr>
          <w:rFonts w:ascii="Times New Roman" w:hAnsi="Times New Roman" w:cs="Times New Roman"/>
          <w:sz w:val="20"/>
          <w:szCs w:val="20"/>
        </w:rPr>
      </w:pPr>
    </w:p>
    <w:p w:rsidR="005E6A3B" w:rsidRDefault="005E6A3B">
      <w:pPr>
        <w:jc w:val="both"/>
        <w:rPr>
          <w:rFonts w:ascii="Times New Roman" w:hAnsi="Times New Roman" w:cs="Times New Roman"/>
          <w:sz w:val="20"/>
          <w:szCs w:val="20"/>
        </w:rPr>
      </w:pPr>
    </w:p>
    <w:p w:rsidR="005E6A3B" w:rsidRDefault="005E6A3B">
      <w:pPr>
        <w:spacing w:before="106" w:line="298" w:lineRule="auto"/>
        <w:jc w:val="both"/>
        <w:rPr>
          <w:rFonts w:ascii="Arial Narrow" w:hAnsi="Arial Narrow" w:cs="Arial Narrow"/>
          <w:b/>
          <w:bCs/>
          <w:i/>
          <w:iCs/>
          <w:color w:val="000000"/>
          <w:sz w:val="24"/>
          <w:szCs w:val="24"/>
        </w:rPr>
      </w:pPr>
      <w:r>
        <w:rPr>
          <w:rFonts w:ascii="Arial Narrow" w:hAnsi="Arial Narrow" w:cs="Arial Narrow"/>
          <w:b/>
          <w:bCs/>
          <w:i/>
          <w:iCs/>
          <w:color w:val="000000"/>
          <w:sz w:val="24"/>
          <w:szCs w:val="24"/>
        </w:rPr>
        <w:t>A Társasházra vonatokozó tűzvédelmi használati szabályok az 1996. évi XXXI. Törvény, a 30/1996. (XII. 6.) BM rendelet, az 54/2014. (XII. 5.) BM rendelet, továbbá a 259/2011. (XII. 7.) kormányrendelet alapján:</w:t>
      </w:r>
    </w:p>
    <w:p w:rsidR="005E6A3B" w:rsidRDefault="005E6A3B">
      <w:pPr>
        <w:spacing w:before="226"/>
        <w:ind w:left="1080" w:hanging="720"/>
        <w:jc w:val="center"/>
        <w:rPr>
          <w:rFonts w:ascii="Arial Narrow" w:hAnsi="Arial Narrow" w:cs="Arial Narrow"/>
          <w:b/>
          <w:bCs/>
          <w:i/>
          <w:iCs/>
          <w:color w:val="000000"/>
          <w:sz w:val="34"/>
          <w:szCs w:val="34"/>
          <w:u w:val="single"/>
        </w:rPr>
      </w:pPr>
      <w:r>
        <w:rPr>
          <w:rFonts w:ascii="Arial Narrow" w:hAnsi="Arial Narrow" w:cs="Arial Narrow"/>
          <w:b/>
          <w:bCs/>
          <w:i/>
          <w:iCs/>
          <w:color w:val="000000"/>
          <w:sz w:val="34"/>
          <w:szCs w:val="34"/>
        </w:rPr>
        <w:t>I.</w:t>
      </w:r>
      <w:r>
        <w:rPr>
          <w:rFonts w:ascii="Arial Narrow" w:hAnsi="Arial Narrow" w:cs="Arial Narrow"/>
          <w:b/>
          <w:bCs/>
          <w:i/>
          <w:iCs/>
          <w:color w:val="000000"/>
          <w:sz w:val="34"/>
          <w:szCs w:val="34"/>
        </w:rPr>
        <w:tab/>
      </w:r>
      <w:r>
        <w:rPr>
          <w:rFonts w:ascii="Arial Narrow" w:hAnsi="Arial Narrow" w:cs="Arial Narrow"/>
          <w:b/>
          <w:bCs/>
          <w:i/>
          <w:iCs/>
          <w:color w:val="000000"/>
          <w:sz w:val="34"/>
          <w:szCs w:val="34"/>
          <w:u w:val="single"/>
        </w:rPr>
        <w:t>TŰZMEGELŐZÉSI SZABÁLYOK</w:t>
      </w:r>
    </w:p>
    <w:p w:rsidR="005E6A3B" w:rsidRDefault="005E6A3B">
      <w:pPr>
        <w:spacing w:before="226"/>
        <w:jc w:val="center"/>
        <w:rPr>
          <w:rFonts w:ascii="Times New Roman" w:hAnsi="Times New Roman" w:cs="Times New Roman"/>
          <w:b/>
          <w:bCs/>
          <w:i/>
          <w:iCs/>
          <w:color w:val="000000"/>
          <w:sz w:val="34"/>
          <w:szCs w:val="34"/>
          <w:u w:val="single"/>
        </w:rPr>
      </w:pPr>
    </w:p>
    <w:p w:rsidR="005E6A3B" w:rsidRDefault="005E6A3B">
      <w:pPr>
        <w:numPr>
          <w:ilvl w:val="0"/>
          <w:numId w:val="1"/>
        </w:numPr>
        <w:tabs>
          <w:tab w:val="left" w:pos="206"/>
        </w:tabs>
        <w:spacing w:before="115" w:line="274" w:lineRule="auto"/>
        <w:rPr>
          <w:rFonts w:ascii="Arial Narrow" w:hAnsi="Arial Narrow" w:cs="Arial Narrow"/>
          <w:b/>
          <w:bCs/>
          <w:i/>
          <w:iCs/>
          <w:color w:val="000000"/>
          <w:u w:val="single"/>
        </w:rPr>
      </w:pPr>
      <w:r>
        <w:rPr>
          <w:rFonts w:ascii="Arial Narrow" w:hAnsi="Arial Narrow" w:cs="Arial Narrow"/>
          <w:b/>
          <w:bCs/>
          <w:i/>
          <w:iCs/>
          <w:color w:val="000000"/>
          <w:u w:val="single"/>
        </w:rPr>
        <w:t>ÁLTALÁNOS TŰZVÉDELMI HASZNÁLATI SZABÁLYOK:</w:t>
      </w:r>
    </w:p>
    <w:p w:rsidR="005E6A3B" w:rsidRDefault="005E6A3B">
      <w:pPr>
        <w:spacing w:line="274" w:lineRule="auto"/>
        <w:jc w:val="both"/>
        <w:rPr>
          <w:rFonts w:ascii="Arial Narrow" w:hAnsi="Arial Narrow" w:cs="Arial Narrow"/>
          <w:i/>
          <w:iCs/>
          <w:color w:val="000000"/>
        </w:rPr>
      </w:pPr>
      <w:r>
        <w:rPr>
          <w:rFonts w:ascii="Arial Narrow" w:hAnsi="Arial Narrow" w:cs="Arial Narrow"/>
          <w:i/>
          <w:iCs/>
          <w:color w:val="000000"/>
        </w:rPr>
        <w:t>Legfontosabb szabály az épület és környezetének (helyiségek, szabadterek stb.), továbbá az itt lévő anyagok, tárgyak, eszközök, berendezések stb. rendeltetésszerű használata. Az épületben - a rendeltetéshez alkalomszerűen kapcsolódó tevékenységek kivételével - tilos olyan tevékenység végzése, továbbá éghető anyag olyan mennyiségben és módon való tárolása, mely a rendeltetésszerű használattól eltér, továbbá tüzet vagy robbanást eredményezhet. A helyiségeket, szabad tereket éghető hulladékoktól, száraz növényzettől mentesen kell tartani. Alkalomszerű tűzveszélyes tevékenységet a vonatkozó jogszabályok előírásai, ill. helyi szabályozás szerint szabad végezni, továbbá fentieket kizárólag erre jogosult és alkalmas személyek, ill. szervezetek végezhetik. Az épületben lévő szellőzőnyílásokat tilos eltakarni, eltorlaszolni. Villamos világítást a vonatkozó műszaki követelmények szerint szabad létesíteni és használni.</w:t>
      </w:r>
    </w:p>
    <w:p w:rsidR="005E6A3B" w:rsidRDefault="005E6A3B">
      <w:pPr>
        <w:numPr>
          <w:ilvl w:val="0"/>
          <w:numId w:val="2"/>
        </w:numPr>
        <w:tabs>
          <w:tab w:val="left" w:pos="206"/>
        </w:tabs>
        <w:spacing w:before="235"/>
        <w:rPr>
          <w:rFonts w:ascii="Arial Narrow" w:hAnsi="Arial Narrow" w:cs="Arial Narrow"/>
          <w:b/>
          <w:bCs/>
          <w:i/>
          <w:iCs/>
          <w:color w:val="000000"/>
          <w:u w:val="single"/>
        </w:rPr>
      </w:pPr>
      <w:r>
        <w:rPr>
          <w:rFonts w:ascii="Arial Narrow" w:hAnsi="Arial Narrow" w:cs="Arial Narrow"/>
          <w:b/>
          <w:bCs/>
          <w:i/>
          <w:iCs/>
          <w:color w:val="000000"/>
          <w:u w:val="single"/>
        </w:rPr>
        <w:t>HELYISÉGEKRE, SZABADTEREKRE VONATKOZÓ SZABÁLYOK:</w:t>
      </w:r>
    </w:p>
    <w:p w:rsidR="005E6A3B" w:rsidRDefault="005E6A3B">
      <w:pPr>
        <w:tabs>
          <w:tab w:val="left" w:pos="206"/>
        </w:tabs>
        <w:spacing w:before="235"/>
        <w:rPr>
          <w:rFonts w:ascii="Times New Roman" w:hAnsi="Times New Roman" w:cs="Times New Roman"/>
          <w:b/>
          <w:bCs/>
          <w:i/>
          <w:iCs/>
          <w:color w:val="000000"/>
          <w:u w:val="single"/>
        </w:rPr>
      </w:pPr>
    </w:p>
    <w:p w:rsidR="005E6A3B" w:rsidRDefault="005E6A3B">
      <w:pPr>
        <w:rPr>
          <w:rFonts w:ascii="Times New Roman" w:hAnsi="Times New Roman" w:cs="Times New Roman"/>
          <w:sz w:val="2"/>
          <w:szCs w:val="2"/>
        </w:rPr>
      </w:pPr>
    </w:p>
    <w:p w:rsidR="005E6A3B" w:rsidRDefault="005E6A3B">
      <w:pPr>
        <w:numPr>
          <w:ilvl w:val="0"/>
          <w:numId w:val="3"/>
        </w:numPr>
        <w:tabs>
          <w:tab w:val="left" w:pos="226"/>
        </w:tabs>
        <w:spacing w:before="67" w:line="274" w:lineRule="auto"/>
        <w:rPr>
          <w:rFonts w:ascii="Arial Narrow" w:hAnsi="Arial Narrow" w:cs="Arial Narrow"/>
          <w:b/>
          <w:bCs/>
          <w:i/>
          <w:iCs/>
          <w:color w:val="000000"/>
          <w:u w:val="single"/>
        </w:rPr>
      </w:pPr>
      <w:r>
        <w:rPr>
          <w:rFonts w:ascii="Arial Narrow" w:hAnsi="Arial Narrow" w:cs="Arial Narrow"/>
          <w:b/>
          <w:bCs/>
          <w:i/>
          <w:iCs/>
          <w:color w:val="000000"/>
          <w:u w:val="single"/>
        </w:rPr>
        <w:t>KÖZLEKEDŐK, LÉPCSŐHÁZAK:</w:t>
      </w:r>
    </w:p>
    <w:p w:rsidR="005E6A3B" w:rsidRDefault="005E6A3B">
      <w:pPr>
        <w:spacing w:before="5" w:line="274" w:lineRule="auto"/>
        <w:jc w:val="both"/>
        <w:rPr>
          <w:rFonts w:ascii="Times New Roman" w:hAnsi="Times New Roman" w:cs="Times New Roman"/>
          <w:i/>
          <w:iCs/>
          <w:color w:val="000000"/>
        </w:rPr>
      </w:pPr>
      <w:r>
        <w:rPr>
          <w:rFonts w:ascii="Arial Narrow" w:hAnsi="Arial Narrow" w:cs="Arial Narrow"/>
          <w:i/>
          <w:iCs/>
          <w:color w:val="000000"/>
        </w:rPr>
        <w:t xml:space="preserve">Alapvető jogszabályi előírás, hogy a menekülésre számításba vett közlekedőkön és lépcsőházakban éghető anyagok, továbbá menekülési útvonalakat leszűkítő tárgyak nem helyezhetőek el. Virágtartó, ill. kaspó elhelyezése menekülési útvonalat le nem szűkítő módon történhet (a falfelületeken olyan magasságban fix módon felszerelve, mely nem akadályozza az esetleges biztonságos menekülést, továbbá mentést, tehát a közlekedőket teljes szélességükben, továbbá kellő - mindenki számára biztonságos - magasságban szabadon, átjárható módon kell hagyni). Tárolóeszközt, bútort (pl. cipősszekrény, polc stb.), motorkerékpárt stb. tilos elhelyezni a közlekedőkön, lépcsőházakban! Az épület bejárati ajtóinak, továbbá a közlekedők, lépcsőházak egyéb helyein lévő nyílászáróinak mindenkor megfelelő módon nyithatónak kell lenniük, fentieket eltorlaszolni nem szabad. Rendeltetéssel össze nem függő elektromos berendezés felügyelet nélkül nem üzemeltethető. A menekülési útvonalak, kijáratok eltorlaszolása tilos! </w:t>
      </w:r>
      <w:r>
        <w:rPr>
          <w:rFonts w:ascii="Arial Narrow" w:hAnsi="Arial Narrow" w:cs="Arial Narrow"/>
          <w:b/>
          <w:bCs/>
          <w:i/>
          <w:iCs/>
          <w:color w:val="000000"/>
        </w:rPr>
        <w:t xml:space="preserve">Az alábbiak mindenkori hozzáférhetőségének, megközelíthetőségének lehetősége elengedhetetlen: villamos berendezések kapcsolói, közművek nyitó-, zárószerkezetei, hő- és füstelvezető kezelőszerkezetei és nyílásai. </w:t>
      </w:r>
      <w:r>
        <w:rPr>
          <w:rFonts w:ascii="Arial Narrow" w:hAnsi="Arial Narrow" w:cs="Arial Narrow"/>
          <w:i/>
          <w:iCs/>
          <w:color w:val="000000"/>
        </w:rPr>
        <w:t>Fentiek nem megfelelő műszaki állapotban tartása, továbbá megrongálása, hozzáférhetőségének akadályoztatása tűzvédelmi bírságot von maga után! A közlekedőket, lépcsőházakat magáncélra használni (pl. lezárni és tárolni) tilos. Az épület pinceszinti közlekedőin, továbbá elektromos kezelőtereiben mindennemű anyag, ill. tárgy elhelyezése, tárolása tilos.</w:t>
      </w:r>
    </w:p>
    <w:p w:rsidR="005E6A3B" w:rsidRDefault="005E6A3B">
      <w:pPr>
        <w:spacing w:before="5" w:line="274" w:lineRule="auto"/>
        <w:jc w:val="both"/>
        <w:rPr>
          <w:rFonts w:ascii="Times New Roman" w:hAnsi="Times New Roman" w:cs="Times New Roman"/>
          <w:i/>
          <w:iCs/>
          <w:color w:val="000000"/>
        </w:rPr>
      </w:pPr>
    </w:p>
    <w:p w:rsidR="005E6A3B" w:rsidRDefault="005E6A3B">
      <w:pPr>
        <w:numPr>
          <w:ilvl w:val="0"/>
          <w:numId w:val="4"/>
        </w:numPr>
        <w:tabs>
          <w:tab w:val="left" w:pos="226"/>
        </w:tabs>
        <w:spacing w:before="67" w:line="264" w:lineRule="auto"/>
        <w:rPr>
          <w:rFonts w:ascii="Arial Narrow" w:hAnsi="Arial Narrow" w:cs="Arial Narrow"/>
          <w:b/>
          <w:bCs/>
          <w:i/>
          <w:iCs/>
          <w:color w:val="000000"/>
          <w:u w:val="single"/>
        </w:rPr>
      </w:pPr>
      <w:r>
        <w:rPr>
          <w:rFonts w:ascii="Arial Narrow" w:hAnsi="Arial Narrow" w:cs="Arial Narrow"/>
          <w:b/>
          <w:bCs/>
          <w:i/>
          <w:iCs/>
          <w:color w:val="000000"/>
          <w:u w:val="single"/>
        </w:rPr>
        <w:t>LAKÁSOK:</w:t>
      </w:r>
    </w:p>
    <w:p w:rsidR="005E6A3B" w:rsidRDefault="005E6A3B">
      <w:pPr>
        <w:spacing w:before="5" w:line="264" w:lineRule="auto"/>
        <w:jc w:val="both"/>
        <w:rPr>
          <w:rFonts w:ascii="Arial Narrow" w:hAnsi="Arial Narrow" w:cs="Arial Narrow"/>
          <w:i/>
          <w:iCs/>
          <w:color w:val="000000"/>
        </w:rPr>
      </w:pPr>
      <w:r>
        <w:rPr>
          <w:rFonts w:ascii="Arial Narrow" w:hAnsi="Arial Narrow" w:cs="Arial Narrow"/>
          <w:i/>
          <w:iCs/>
          <w:color w:val="000000"/>
        </w:rPr>
        <w:t>Alapvető a helyiségek, továbbá a gépek, berendezések, készülékek, eszközök stb. rendeltetésszerű használata (vonatkozó előírás szerinti tárolás, alkalmazás, karbantartás és felülvizsgálat, szükség esetén javíttatás stb.) - a vonatkozó műszaki követelmények, jogszabályok, szabványok, ill. a kezelési és karbantartási útmutatók alapján. A lakásban, ill. lakás megfelelő helyein kizárólag olyan gépek, berendezések, eszközök, készülékek stb. használhatók, amelyek rendeltetésszerű használatuk során nem jelentenek tűz-, ill. robbanásveszélyt. A villamos gépeket, berendezéseket, egyéb készülékeket használatukat követően ki kell kapcsolni (kivéve azon készüléket, melyek rendeltetésükből adódóan folyamatos üzeműek). Kikapcsolt állapotnak tekinthető az informatikai stb. eszközök, készülékek készenléti állapota is. Villamos gépet, berendezést, készüléket használaton kívül helyezés esetén le kell választani a villamos tápellátásról. Hibás gépet, berendezést, készüléket stb. használni tilos, fentieket üzemen kívül kell helyezni! A hőfejlesztő készülékek, berendezések (sütő-, főzőberendezés, rezsó, kávéfőző stb.) és éghető anyag közötti biztonságos távolság megtartásáról mindenkor gondoskodjunk (ill. szükség esetén megfelelő hőszigetelés alkalmazása). A fent leírt gépek, berendezések, eszközök stb. megfelelő személy általi felügyeletéről szintén gondoskodni kell. A lakás elhagyása előtt minden esetben meg kell győződni a berendezések veszélytelenségéről. Lakásokban I-II. tűzveszélyességi fokozatú folyadékok és aeroszolok (pl. különböző oldószeres festékek, lakkok stb.), továbbá III-IV. tűzveszélyességi fokozatú folyadékok (pl. különböző olajok) az alábbi mennyiségben tárolhatók, elkülönítve más éghető anyagoktól (pl. papír), gyújtóforrástól: I-II. tűzveszélyességi fokozatú folyadékból és aeroszolból összesen legfeljebb 10 liter, III-IV. tűzveszélyességi fokozatú folyadékból legfeljebb 30 liter. I-II. tűzveszélyességi fokozatú folyadékot, egyéb éghető folyadékot a biztonságos tárolásra alkalmas, folyadék hatásának ellenálló, továbbá gyújtási-, robbanási veszélyt nem jelentő tárolóeszközben, lezárt módon, kiöntőnyílásukkal felfelé szabad tárolni. Kiürített, tisztítatlan tárolóedények tárolásának módja megegyezik a megtöltött edények tárolásával. PB és egyéb éghető anyagot tartalmazó gázpalack nem használható, továbbá nem tárolható! Fenti anyagokhoz, egyéb veszélyes anyagokhoz, gyújtóeszközökhöz és gyújtóforrásokhoz stb. gyermekeknek való hozzáférhetőségét meg kell akadályozni! A tevékenység során keletkezett és megfelelő módon tárolt hulladékokat kellő rendszerességgel el kell távolítani.</w:t>
      </w:r>
    </w:p>
    <w:p w:rsidR="005E6A3B" w:rsidRDefault="005E6A3B">
      <w:pPr>
        <w:spacing w:before="5" w:line="264" w:lineRule="auto"/>
        <w:jc w:val="both"/>
        <w:rPr>
          <w:rFonts w:ascii="Times New Roman" w:hAnsi="Times New Roman" w:cs="Times New Roman"/>
          <w:i/>
          <w:iCs/>
          <w:color w:val="000000"/>
        </w:rPr>
      </w:pPr>
    </w:p>
    <w:p w:rsidR="005E6A3B" w:rsidRDefault="005E6A3B">
      <w:pPr>
        <w:spacing w:before="67" w:line="274" w:lineRule="auto"/>
        <w:rPr>
          <w:rFonts w:ascii="Arial Narrow" w:hAnsi="Arial Narrow" w:cs="Arial Narrow"/>
          <w:b/>
          <w:bCs/>
          <w:i/>
          <w:iCs/>
          <w:color w:val="000000"/>
          <w:u w:val="single"/>
        </w:rPr>
      </w:pPr>
      <w:r>
        <w:rPr>
          <w:rFonts w:ascii="Arial Narrow" w:hAnsi="Arial Narrow" w:cs="Arial Narrow"/>
          <w:b/>
          <w:bCs/>
          <w:i/>
          <w:iCs/>
          <w:color w:val="000000"/>
          <w:u w:val="single"/>
        </w:rPr>
        <w:t>c. TÁROLÓK:</w:t>
      </w:r>
    </w:p>
    <w:p w:rsidR="005E6A3B" w:rsidRDefault="005E6A3B">
      <w:pPr>
        <w:spacing w:line="274" w:lineRule="auto"/>
        <w:jc w:val="both"/>
        <w:rPr>
          <w:rFonts w:ascii="Arial Narrow" w:hAnsi="Arial Narrow" w:cs="Arial Narrow"/>
          <w:i/>
          <w:iCs/>
          <w:color w:val="000000"/>
        </w:rPr>
      </w:pPr>
      <w:r>
        <w:rPr>
          <w:rFonts w:ascii="Arial Narrow" w:hAnsi="Arial Narrow" w:cs="Arial Narrow"/>
          <w:i/>
          <w:iCs/>
          <w:color w:val="000000"/>
        </w:rPr>
        <w:t>Helyiségek rendeltetésszerű használata. Alapvető követelmények: Nem tárolhatók itt robbanásveszélyes osztályba tartozó anyagok (pl. benzin), tűzveszélyes folyadékok (pl. gázolaj), továbbá robbanásveszélyes anyagot tartalmazó gázpalackok (PB stb.). Csak olyan anyagok, tárgyak helyezhetők olyan mennyiségben és módon, hogy azok környezetükre tűz-, illetőleg robbanásveszélyt nem jelentenek (figyelembe véve az anyagok, tárgyak tulajdonságait és egymásra való hatásukat is). Követelmény a rendezett (pl. polcokon), továbbá a világítótestektől biztonságos távolságban történő tárolás, szükség esetén lomtalanítás. A helyiségeket éghető hulladékoktól, száraz növényzettől mentesen kell tartani.</w:t>
      </w:r>
    </w:p>
    <w:p w:rsidR="005E6A3B" w:rsidRDefault="005E6A3B">
      <w:pPr>
        <w:spacing w:line="274" w:lineRule="auto"/>
        <w:jc w:val="both"/>
        <w:rPr>
          <w:rFonts w:ascii="Times New Roman" w:hAnsi="Times New Roman" w:cs="Times New Roman"/>
          <w:i/>
          <w:iCs/>
          <w:color w:val="000000"/>
        </w:rPr>
      </w:pPr>
    </w:p>
    <w:p w:rsidR="005E6A3B" w:rsidRDefault="005E6A3B">
      <w:pPr>
        <w:numPr>
          <w:ilvl w:val="0"/>
          <w:numId w:val="5"/>
        </w:numPr>
        <w:tabs>
          <w:tab w:val="left" w:pos="226"/>
        </w:tabs>
        <w:spacing w:before="139" w:line="264" w:lineRule="auto"/>
        <w:rPr>
          <w:rFonts w:ascii="Arial Narrow" w:hAnsi="Arial Narrow" w:cs="Arial Narrow"/>
          <w:b/>
          <w:bCs/>
          <w:i/>
          <w:iCs/>
          <w:color w:val="000000"/>
          <w:u w:val="single"/>
        </w:rPr>
      </w:pPr>
      <w:r>
        <w:rPr>
          <w:rFonts w:ascii="Arial Narrow" w:hAnsi="Arial Narrow" w:cs="Arial Narrow"/>
          <w:b/>
          <w:bCs/>
          <w:i/>
          <w:iCs/>
          <w:color w:val="000000"/>
          <w:u w:val="single"/>
        </w:rPr>
        <w:t>DOHÁNYZÁSI SZABÁLYOK:</w:t>
      </w:r>
    </w:p>
    <w:p w:rsidR="005E6A3B" w:rsidRDefault="005E6A3B">
      <w:pPr>
        <w:spacing w:before="5" w:line="264" w:lineRule="auto"/>
        <w:ind w:right="14"/>
        <w:jc w:val="both"/>
        <w:rPr>
          <w:rFonts w:ascii="Arial Narrow" w:hAnsi="Arial Narrow" w:cs="Arial Narrow"/>
          <w:i/>
          <w:iCs/>
          <w:color w:val="000000"/>
        </w:rPr>
      </w:pPr>
      <w:r>
        <w:rPr>
          <w:rFonts w:ascii="Arial Narrow" w:hAnsi="Arial Narrow" w:cs="Arial Narrow"/>
          <w:i/>
          <w:iCs/>
          <w:color w:val="000000"/>
        </w:rPr>
        <w:t>Égő dohányneműt és gyufát, egyéb gyújtóforrást ne tegyük, ill. ne dobjuk tüzet-, ill. robbanást okozó helyre (pl. papírkosár, egyéb éghető anyag stb.). Dohányozni tilos az épület közös helyiségeiben (közlekedők, lépcsőházak stb.), tárolóiban, továbbá ott, ahol robbanásveszélyes osztályba tartozó anyagot tárolnak, felhasználnak. A csikkek megfelelő eloltásáról mindenkor gondoskodni kell, fentieket szabadba kidobni tilos! A tűzvédelmi szempontokon túl, a nemdohányzók védelmére vonatkozó hatályos jogszabályok betartása is kötelező.</w:t>
      </w:r>
    </w:p>
    <w:p w:rsidR="005E6A3B" w:rsidRDefault="005E6A3B">
      <w:pPr>
        <w:spacing w:before="5" w:line="264" w:lineRule="auto"/>
        <w:ind w:right="14"/>
        <w:jc w:val="both"/>
        <w:rPr>
          <w:rFonts w:ascii="Times New Roman" w:hAnsi="Times New Roman" w:cs="Times New Roman"/>
          <w:i/>
          <w:iCs/>
          <w:color w:val="000000"/>
        </w:rPr>
      </w:pPr>
    </w:p>
    <w:p w:rsidR="005E6A3B" w:rsidRDefault="005E6A3B">
      <w:pPr>
        <w:numPr>
          <w:ilvl w:val="0"/>
          <w:numId w:val="6"/>
        </w:numPr>
        <w:tabs>
          <w:tab w:val="left" w:pos="226"/>
        </w:tabs>
        <w:spacing w:before="67" w:line="274" w:lineRule="auto"/>
        <w:rPr>
          <w:rFonts w:ascii="Arial Narrow" w:hAnsi="Arial Narrow" w:cs="Arial Narrow"/>
          <w:b/>
          <w:bCs/>
          <w:i/>
          <w:iCs/>
          <w:color w:val="000000"/>
          <w:u w:val="single"/>
        </w:rPr>
      </w:pPr>
      <w:r>
        <w:rPr>
          <w:rFonts w:ascii="Arial Narrow" w:hAnsi="Arial Narrow" w:cs="Arial Narrow"/>
          <w:b/>
          <w:bCs/>
          <w:i/>
          <w:iCs/>
          <w:color w:val="000000"/>
          <w:u w:val="single"/>
        </w:rPr>
        <w:t>VEGYI ANYAGOK HASZNÁLATÁRA VONATKOZÓ EGYÉB ELŐÍRÁSOK:</w:t>
      </w:r>
    </w:p>
    <w:p w:rsidR="005E6A3B" w:rsidRDefault="005E6A3B">
      <w:pPr>
        <w:spacing w:before="5" w:line="274" w:lineRule="auto"/>
        <w:ind w:right="5"/>
        <w:jc w:val="both"/>
        <w:rPr>
          <w:rFonts w:ascii="Arial Narrow" w:hAnsi="Arial Narrow" w:cs="Arial Narrow"/>
          <w:i/>
          <w:iCs/>
          <w:color w:val="000000"/>
        </w:rPr>
      </w:pPr>
      <w:r>
        <w:rPr>
          <w:rFonts w:ascii="Arial Narrow" w:hAnsi="Arial Narrow" w:cs="Arial Narrow"/>
          <w:i/>
          <w:iCs/>
          <w:color w:val="000000"/>
        </w:rPr>
        <w:t xml:space="preserve">A vegyi anyag csomagolásán feltüntetett használati útmutatók betartása, továbbá a vegyi anyagra vonatkozó Biztonsági Adatlapokban előírtak betartása kötelező. Minden kereskedelmi forgalomban lévő vegyi anyagnak van ún. Biztonsági Adatlapja, mely részletesen leírja a vegyi anyag jellemzőit, továbbá a biztonságos használatára vonatkozó szabályait (összetétele, veszélyessége, használati szempontjai - pl. tárolás, együttes tárolás, felhasználás, hulladékkezelés, eseteleges védőeszköz-igény, tennivalók baleset esetén stb.). Az épületben propán-bután és egyéb éghető anyagot tartalmazó gázpalack használata és tárolása tilos! </w:t>
      </w:r>
      <w:r>
        <w:rPr>
          <w:rFonts w:ascii="Arial Narrow" w:hAnsi="Arial Narrow" w:cs="Arial Narrow"/>
          <w:b/>
          <w:bCs/>
          <w:i/>
          <w:iCs/>
          <w:color w:val="000000"/>
        </w:rPr>
        <w:t xml:space="preserve">Az épületben, továbbá a tárolás céljára alkalmas helyiségekben csak a folyamatos tevékenység végzéséhez szükséges robbanás-, ill. tűzveszélyes osztályba tartozó anyagot szabad tárolni! </w:t>
      </w:r>
      <w:r>
        <w:rPr>
          <w:rFonts w:ascii="Arial Narrow" w:hAnsi="Arial Narrow" w:cs="Arial Narrow"/>
          <w:i/>
          <w:iCs/>
          <w:color w:val="000000"/>
        </w:rPr>
        <w:t>Talajszint alatti helyiségben robbanásveszélyes osztályba tartozó anyag nem tárolható! A robbanásveszélyes osztályba tartozó anyagokat, továbbá az I-III. tűzveszélyességi fokozatú folyadékokat kizárólag zárt csomagolásukban, ill. edényben szabad tárolni. Az I-II. tűzveszélyességi fokozatú folyadékot olyan megfelelően szellőztetett helyiségben, szabadtéren szabad használni alkalomszerűen, ahol nincs egyidejűleg gyújtóforrás. Esetleges szétfolyás esetén a folyadékot haladéktalanul fel kell itatni, továbbá a helyiséget ki kell szellőztetni. Az így keletkezett hulladékot nem éghető, zárható fedővel rendelkező tárolóedényben kell tárolni, erre a célra alkalmas helyen. Közcsatornába tilos az alábbi anyagok bevezetése: I-II. tűzveszélyességi fokozatú folyadékok, robbanásveszélyes és tűzveszélyes osztályba tartozó gázok, gőzök, továbbá a fentiekben felsorolt anyagokat oldott állapotban tartalmazó szennyvizek, ill. vízzel vegyi reakcióba lépő, robbanásveszélyes vagy tűzveszélyes osztályba tartozó gázt fejlesztő anyagok.</w:t>
      </w:r>
    </w:p>
    <w:p w:rsidR="005E6A3B" w:rsidRDefault="005E6A3B">
      <w:pPr>
        <w:ind w:left="2957"/>
        <w:jc w:val="both"/>
        <w:rPr>
          <w:rFonts w:ascii="Times New Roman" w:hAnsi="Times New Roman" w:cs="Times New Roman"/>
          <w:b/>
          <w:bCs/>
          <w:i/>
          <w:iCs/>
          <w:color w:val="000000"/>
          <w:sz w:val="34"/>
          <w:szCs w:val="34"/>
          <w:u w:val="single"/>
        </w:rPr>
      </w:pPr>
    </w:p>
    <w:p w:rsidR="005E6A3B" w:rsidRDefault="005E6A3B">
      <w:pPr>
        <w:ind w:left="2957"/>
        <w:jc w:val="both"/>
        <w:rPr>
          <w:rFonts w:ascii="Arial Narrow" w:hAnsi="Arial Narrow" w:cs="Arial Narrow"/>
          <w:b/>
          <w:bCs/>
          <w:i/>
          <w:iCs/>
          <w:color w:val="000000"/>
          <w:sz w:val="34"/>
          <w:szCs w:val="34"/>
          <w:u w:val="single"/>
        </w:rPr>
      </w:pPr>
      <w:r>
        <w:rPr>
          <w:rFonts w:ascii="Arial Narrow" w:hAnsi="Arial Narrow" w:cs="Arial Narrow"/>
          <w:b/>
          <w:bCs/>
          <w:i/>
          <w:iCs/>
          <w:color w:val="000000"/>
          <w:sz w:val="34"/>
          <w:szCs w:val="34"/>
          <w:u w:val="single"/>
        </w:rPr>
        <w:t>II. TENNIVALÓK TŰZ ESETÉN</w:t>
      </w:r>
    </w:p>
    <w:p w:rsidR="005E6A3B" w:rsidRDefault="005E6A3B">
      <w:pPr>
        <w:numPr>
          <w:ilvl w:val="0"/>
          <w:numId w:val="7"/>
        </w:numPr>
        <w:tabs>
          <w:tab w:val="left" w:pos="226"/>
        </w:tabs>
        <w:spacing w:before="206" w:line="274" w:lineRule="auto"/>
        <w:rPr>
          <w:rFonts w:ascii="Arial Narrow" w:hAnsi="Arial Narrow" w:cs="Arial Narrow"/>
          <w:b/>
          <w:bCs/>
          <w:i/>
          <w:iCs/>
          <w:color w:val="000000"/>
          <w:u w:val="single"/>
        </w:rPr>
      </w:pPr>
      <w:r>
        <w:rPr>
          <w:rFonts w:ascii="Arial Narrow" w:hAnsi="Arial Narrow" w:cs="Arial Narrow"/>
          <w:b/>
          <w:bCs/>
          <w:i/>
          <w:iCs/>
          <w:color w:val="000000"/>
          <w:u w:val="single"/>
        </w:rPr>
        <w:t>TŰZOLTÁS MEGKEZDÉSE, TŰZOLTÁSI SZEMPONTOK</w:t>
      </w:r>
    </w:p>
    <w:p w:rsidR="005E6A3B" w:rsidRDefault="005E6A3B">
      <w:pPr>
        <w:spacing w:line="274" w:lineRule="auto"/>
        <w:jc w:val="both"/>
        <w:rPr>
          <w:rFonts w:ascii="Arial Narrow" w:hAnsi="Arial Narrow" w:cs="Arial Narrow"/>
          <w:i/>
          <w:iCs/>
          <w:color w:val="000000"/>
        </w:rPr>
      </w:pPr>
      <w:r>
        <w:rPr>
          <w:rFonts w:ascii="Arial Narrow" w:hAnsi="Arial Narrow" w:cs="Arial Narrow"/>
          <w:i/>
          <w:iCs/>
          <w:color w:val="000000"/>
        </w:rPr>
        <w:t>A tűz oltását meg kell kísérelni a rendelkezésre álló eszközökkel (pl. oltópokróc, tűzoltó készülék stb.). A különböző anyagok tüzeinek oltását a biztonságtechnikai szempontok figyelembe vételével szabad elvégezni. Amennyiben tűzoltó készülék áll rendelkezésre, a rajta lévő kezelési útmutató szerint kell eljárni (milyen típusú tüzek oltására, milyen távolságból alkalmazható, továbbá a működtetési lépéseknek megfelelően). Tűzoltó készülékkel személyi tüzek oltása szigorúan tilos! Erre a célra alacsony műszáltartalmú oltópokróc alkalmazása ajánlott. A kisebb égő szilárd tárgyakat vízzel és letakarással is elolthatjuk. Elektromos berendezések tüzét vízzel oltani tilos (a tűzoltást -áramtalanítást követően - ABC porral oltó készülékkel végezzük el)! A tűzoltóságot a sikeres tűzoltást követően is értesíteni kell. Tűzoltást követően mindent változatlanul kell hagyni a tűzvizsgálat és kármegállapítás sikeressége érdekében.</w:t>
      </w:r>
    </w:p>
    <w:p w:rsidR="005E6A3B" w:rsidRDefault="005E6A3B">
      <w:pPr>
        <w:spacing w:line="274" w:lineRule="auto"/>
        <w:jc w:val="both"/>
        <w:rPr>
          <w:rFonts w:ascii="Times New Roman" w:hAnsi="Times New Roman" w:cs="Times New Roman"/>
          <w:i/>
          <w:iCs/>
          <w:color w:val="000000"/>
        </w:rPr>
      </w:pPr>
    </w:p>
    <w:p w:rsidR="005E6A3B" w:rsidRDefault="005E6A3B">
      <w:pPr>
        <w:numPr>
          <w:ilvl w:val="0"/>
          <w:numId w:val="8"/>
        </w:numPr>
        <w:tabs>
          <w:tab w:val="left" w:pos="226"/>
        </w:tabs>
        <w:spacing w:before="72"/>
        <w:rPr>
          <w:rFonts w:ascii="Arial Narrow" w:hAnsi="Arial Narrow" w:cs="Arial Narrow"/>
          <w:b/>
          <w:bCs/>
          <w:i/>
          <w:iCs/>
          <w:color w:val="000000"/>
          <w:u w:val="single"/>
        </w:rPr>
      </w:pPr>
      <w:r>
        <w:rPr>
          <w:rFonts w:ascii="Arial Narrow" w:hAnsi="Arial Narrow" w:cs="Arial Narrow"/>
          <w:b/>
          <w:bCs/>
          <w:i/>
          <w:iCs/>
          <w:color w:val="000000"/>
          <w:u w:val="single"/>
        </w:rPr>
        <w:t>TŰZJELZÉS</w:t>
      </w:r>
    </w:p>
    <w:p w:rsidR="005E6A3B" w:rsidRDefault="005E6A3B">
      <w:pPr>
        <w:spacing w:before="34" w:line="283" w:lineRule="auto"/>
        <w:jc w:val="both"/>
        <w:rPr>
          <w:rFonts w:ascii="Times New Roman" w:hAnsi="Times New Roman" w:cs="Times New Roman"/>
          <w:i/>
          <w:iCs/>
          <w:color w:val="000000"/>
        </w:rPr>
      </w:pPr>
      <w:r>
        <w:rPr>
          <w:rFonts w:ascii="Arial Narrow" w:hAnsi="Arial Narrow" w:cs="Arial Narrow"/>
          <w:i/>
          <w:iCs/>
          <w:color w:val="000000"/>
        </w:rPr>
        <w:t xml:space="preserve">Aki tüzet vagy annak közvetlen veszélyét észleli, köteles azt haladéktalanul jelezni a </w:t>
      </w:r>
      <w:r>
        <w:rPr>
          <w:rFonts w:ascii="Arial Narrow" w:hAnsi="Arial Narrow" w:cs="Arial Narrow"/>
          <w:b/>
          <w:bCs/>
          <w:i/>
          <w:iCs/>
          <w:color w:val="000000"/>
          <w:sz w:val="26"/>
          <w:szCs w:val="26"/>
        </w:rPr>
        <w:t xml:space="preserve">tűzoltóságnak (105), </w:t>
      </w:r>
      <w:r>
        <w:rPr>
          <w:rFonts w:ascii="Arial Narrow" w:hAnsi="Arial Narrow" w:cs="Arial Narrow"/>
          <w:i/>
          <w:iCs/>
          <w:color w:val="000000"/>
        </w:rPr>
        <w:t xml:space="preserve">ha erre nincs lehetősége, a </w:t>
      </w:r>
      <w:r>
        <w:rPr>
          <w:rFonts w:ascii="Arial Narrow" w:hAnsi="Arial Narrow" w:cs="Arial Narrow"/>
          <w:b/>
          <w:bCs/>
          <w:i/>
          <w:iCs/>
          <w:color w:val="000000"/>
          <w:sz w:val="26"/>
          <w:szCs w:val="26"/>
        </w:rPr>
        <w:t xml:space="preserve">rendőrségnek (107) </w:t>
      </w:r>
      <w:r>
        <w:rPr>
          <w:rFonts w:ascii="Arial Narrow" w:hAnsi="Arial Narrow" w:cs="Arial Narrow"/>
          <w:i/>
          <w:iCs/>
          <w:color w:val="000000"/>
        </w:rPr>
        <w:t xml:space="preserve">vagy a </w:t>
      </w:r>
      <w:r>
        <w:rPr>
          <w:rFonts w:ascii="Arial Narrow" w:hAnsi="Arial Narrow" w:cs="Arial Narrow"/>
          <w:b/>
          <w:bCs/>
          <w:i/>
          <w:iCs/>
          <w:color w:val="000000"/>
          <w:sz w:val="26"/>
          <w:szCs w:val="26"/>
        </w:rPr>
        <w:t xml:space="preserve">mentőszolgálatnak (104), </w:t>
      </w:r>
      <w:r>
        <w:rPr>
          <w:rFonts w:ascii="Arial Narrow" w:hAnsi="Arial Narrow" w:cs="Arial Narrow"/>
          <w:i/>
          <w:iCs/>
          <w:color w:val="000000"/>
        </w:rPr>
        <w:t xml:space="preserve">ill. az illetékes önkormányzat polgármesteri hivatalának. Fentieken túl, </w:t>
      </w:r>
      <w:r>
        <w:rPr>
          <w:rFonts w:ascii="Arial Narrow" w:hAnsi="Arial Narrow" w:cs="Arial Narrow"/>
          <w:b/>
          <w:bCs/>
          <w:i/>
          <w:iCs/>
          <w:color w:val="000000"/>
        </w:rPr>
        <w:t xml:space="preserve">általános segélyhívó szám: </w:t>
      </w:r>
      <w:r>
        <w:rPr>
          <w:rFonts w:ascii="Arial Narrow" w:hAnsi="Arial Narrow" w:cs="Arial Narrow"/>
          <w:b/>
          <w:bCs/>
          <w:i/>
          <w:iCs/>
          <w:color w:val="000000"/>
          <w:sz w:val="26"/>
          <w:szCs w:val="26"/>
        </w:rPr>
        <w:t xml:space="preserve">112. </w:t>
      </w:r>
      <w:r>
        <w:rPr>
          <w:rFonts w:ascii="Arial Narrow" w:hAnsi="Arial Narrow" w:cs="Arial Narrow"/>
          <w:i/>
          <w:iCs/>
          <w:color w:val="000000"/>
        </w:rPr>
        <w:t>A jelzésfogadó a tűzjelzés fogadásakor a tudomására jutott vagy a bejelentő által közölt alábbi adatokat rögzíti: a bejelentő neve, telefonszáma, ennek hiányában lakcíme; a bejelentéskor használt telefonszámhoz tartozó előfizető neve, címe; a bejelentő által használt telefonállomás azonosított adatai; a hívások rögzített tartalma; a tűzoltási, műszaki mentési feladatot indokoló esemény helye és jellege; a személyi sérülés, haláleset adatai; a műveletirányítás által szükségesnek tartott további, személyes adatnak nem minősülő információ. A tűzoltóság a helyszínen tartózkodó, a káresemény szempontjából érdemi információval szolgálni tudó személyek alábbi adatait rögzítheti: név, lakcím, egyéb elérhetőség.</w:t>
      </w:r>
    </w:p>
    <w:p w:rsidR="005E6A3B" w:rsidRDefault="005E6A3B">
      <w:pPr>
        <w:numPr>
          <w:ilvl w:val="0"/>
          <w:numId w:val="9"/>
        </w:numPr>
        <w:tabs>
          <w:tab w:val="left" w:pos="226"/>
        </w:tabs>
        <w:spacing w:before="62" w:line="274" w:lineRule="auto"/>
        <w:rPr>
          <w:rFonts w:ascii="Arial Narrow" w:hAnsi="Arial Narrow" w:cs="Arial Narrow"/>
          <w:b/>
          <w:bCs/>
          <w:i/>
          <w:iCs/>
          <w:color w:val="000000"/>
          <w:u w:val="single"/>
        </w:rPr>
      </w:pPr>
      <w:r>
        <w:rPr>
          <w:rFonts w:ascii="Arial Narrow" w:hAnsi="Arial Narrow" w:cs="Arial Narrow"/>
          <w:b/>
          <w:bCs/>
          <w:i/>
          <w:iCs/>
          <w:color w:val="000000"/>
          <w:u w:val="single"/>
        </w:rPr>
        <w:t>KIÜRÍTÉSI FELADATOK</w:t>
      </w:r>
    </w:p>
    <w:p w:rsidR="005E6A3B" w:rsidRDefault="005E6A3B">
      <w:pPr>
        <w:spacing w:before="5" w:line="274" w:lineRule="auto"/>
        <w:jc w:val="both"/>
        <w:rPr>
          <w:rFonts w:ascii="Times New Roman" w:hAnsi="Times New Roman" w:cs="Times New Roman"/>
          <w:i/>
          <w:iCs/>
          <w:color w:val="000000"/>
        </w:rPr>
      </w:pPr>
      <w:r>
        <w:rPr>
          <w:rFonts w:ascii="Arial Narrow" w:hAnsi="Arial Narrow" w:cs="Arial Narrow"/>
          <w:i/>
          <w:iCs/>
          <w:color w:val="000000"/>
        </w:rPr>
        <w:t>A lakást lehetőleg áramtalanítsuk, továbbá lehetőség szerint a nyílászárók becsukását követően hagyjuk el. Az épületben tartózkodókat riasszuk (hangos kiáltás, ill. bekopogás). A lépcsőház hő- és füstmentes állapotban való tartásáról, ill. szükség esetén a hő- és füstelvezetéséről (lépcsőházi hő- és füstelvezető működtetése) lehetőség szerint gondoskodjunk. Menekülés, kiürítés iránya: a lépcsőházakból a földszinti kijáratokon át az utcára. Az égő helyiségbe, lakásba, épületbe visszamenni tilos!</w:t>
      </w:r>
    </w:p>
    <w:p w:rsidR="005E6A3B" w:rsidRDefault="005E6A3B">
      <w:pPr>
        <w:numPr>
          <w:ilvl w:val="0"/>
          <w:numId w:val="10"/>
        </w:numPr>
        <w:tabs>
          <w:tab w:val="left" w:pos="226"/>
        </w:tabs>
        <w:spacing w:before="67" w:line="274" w:lineRule="auto"/>
        <w:rPr>
          <w:rFonts w:ascii="Arial Narrow" w:hAnsi="Arial Narrow" w:cs="Arial Narrow"/>
          <w:b/>
          <w:bCs/>
          <w:i/>
          <w:iCs/>
          <w:color w:val="000000"/>
          <w:u w:val="single"/>
        </w:rPr>
      </w:pPr>
      <w:r>
        <w:rPr>
          <w:rFonts w:ascii="Arial Narrow" w:hAnsi="Arial Narrow" w:cs="Arial Narrow"/>
          <w:b/>
          <w:bCs/>
          <w:i/>
          <w:iCs/>
          <w:color w:val="000000"/>
          <w:u w:val="single"/>
        </w:rPr>
        <w:t>KIVONULÓ TŰZOLTÓEGYSÉG FOGADÁSA, TŰZOLTÁS</w:t>
      </w:r>
    </w:p>
    <w:p w:rsidR="005E6A3B" w:rsidRDefault="005E6A3B">
      <w:pPr>
        <w:spacing w:line="274" w:lineRule="auto"/>
        <w:jc w:val="both"/>
        <w:rPr>
          <w:rFonts w:ascii="Times New Roman" w:hAnsi="Times New Roman" w:cs="Times New Roman"/>
          <w:b/>
          <w:bCs/>
          <w:i/>
          <w:iCs/>
          <w:color w:val="000000"/>
          <w:sz w:val="34"/>
          <w:szCs w:val="34"/>
          <w:u w:val="single"/>
        </w:rPr>
      </w:pPr>
      <w:r>
        <w:rPr>
          <w:rFonts w:ascii="Arial Narrow" w:hAnsi="Arial Narrow" w:cs="Arial Narrow"/>
          <w:i/>
          <w:iCs/>
          <w:color w:val="000000"/>
        </w:rPr>
        <w:t>A lakók a tűzoltásban, a műszaki mentésben - ellenszolgáltatás nélkül - életkoruk, egészségi, fizikai állapotuk alapján elvárható személyes részvétellel, adatok közlésével kötelesek közreműködni. A tűzoltás felelős vezetője a tűzoltás-vezető, a tűzoltási helyszínen csak az ő előzetes engedélyével intézkedhet más személy.</w:t>
      </w:r>
    </w:p>
    <w:p w:rsidR="005E6A3B" w:rsidRDefault="005E6A3B">
      <w:pPr>
        <w:ind w:left="2352"/>
        <w:jc w:val="both"/>
        <w:rPr>
          <w:rFonts w:ascii="Arial Narrow" w:hAnsi="Arial Narrow" w:cs="Arial Narrow"/>
          <w:b/>
          <w:bCs/>
          <w:i/>
          <w:iCs/>
          <w:color w:val="000000"/>
          <w:sz w:val="34"/>
          <w:szCs w:val="34"/>
          <w:u w:val="single"/>
        </w:rPr>
      </w:pPr>
      <w:r>
        <w:rPr>
          <w:rFonts w:ascii="Arial Narrow" w:hAnsi="Arial Narrow" w:cs="Arial Narrow"/>
          <w:b/>
          <w:bCs/>
          <w:i/>
          <w:iCs/>
          <w:color w:val="000000"/>
          <w:sz w:val="34"/>
          <w:szCs w:val="34"/>
          <w:u w:val="single"/>
        </w:rPr>
        <w:t>III. TŰZVÉDELMI SZABÁLYSÉRTÉSEK</w:t>
      </w:r>
    </w:p>
    <w:p w:rsidR="005E6A3B" w:rsidRDefault="005E6A3B">
      <w:pPr>
        <w:jc w:val="both"/>
        <w:rPr>
          <w:rFonts w:ascii="Times New Roman" w:hAnsi="Times New Roman" w:cs="Times New Roman"/>
          <w:sz w:val="20"/>
          <w:szCs w:val="20"/>
        </w:rPr>
      </w:pPr>
    </w:p>
    <w:p w:rsidR="005E6A3B" w:rsidRDefault="005E6A3B">
      <w:pPr>
        <w:spacing w:before="106" w:line="274" w:lineRule="auto"/>
        <w:jc w:val="both"/>
        <w:rPr>
          <w:rFonts w:ascii="Arial Narrow" w:hAnsi="Arial Narrow" w:cs="Arial Narrow"/>
          <w:b/>
          <w:bCs/>
          <w:i/>
          <w:iCs/>
          <w:color w:val="000000"/>
        </w:rPr>
      </w:pPr>
      <w:r>
        <w:rPr>
          <w:rFonts w:ascii="Arial Narrow" w:hAnsi="Arial Narrow" w:cs="Arial Narrow"/>
          <w:b/>
          <w:bCs/>
          <w:i/>
          <w:iCs/>
          <w:color w:val="000000"/>
        </w:rPr>
        <w:t>A 259/2011 (XII. 7.) kormányrendelet rendelkezik az egyes tűzvédelmi előírások megszegésének bírságairól (az esetek többségében a tűzvédelmi bírság kiszabása kötelező), továbbá a kiszabható bírságok mértékéről, ennek a társasházat érintő főbb témakörei az alábbiakban:</w:t>
      </w:r>
    </w:p>
    <w:p w:rsidR="005E6A3B" w:rsidRDefault="005E6A3B">
      <w:pPr>
        <w:numPr>
          <w:ilvl w:val="0"/>
          <w:numId w:val="11"/>
        </w:numPr>
        <w:tabs>
          <w:tab w:val="left" w:pos="331"/>
        </w:tabs>
        <w:spacing w:before="187" w:line="274" w:lineRule="auto"/>
        <w:rPr>
          <w:rFonts w:ascii="Arial Narrow" w:hAnsi="Arial Narrow" w:cs="Arial Narrow"/>
          <w:i/>
          <w:iCs/>
          <w:color w:val="222222"/>
        </w:rPr>
      </w:pPr>
      <w:r>
        <w:rPr>
          <w:rFonts w:ascii="Arial Narrow" w:hAnsi="Arial Narrow" w:cs="Arial Narrow"/>
          <w:i/>
          <w:iCs/>
          <w:color w:val="222222"/>
        </w:rPr>
        <w:t>Tűzeset bekövetkezése, tűzvédelmi előírás megszegése miatt;</w:t>
      </w:r>
    </w:p>
    <w:p w:rsidR="005E6A3B" w:rsidRDefault="005E6A3B">
      <w:pPr>
        <w:numPr>
          <w:ilvl w:val="0"/>
          <w:numId w:val="11"/>
        </w:numPr>
        <w:tabs>
          <w:tab w:val="left" w:pos="331"/>
        </w:tabs>
        <w:spacing w:line="274" w:lineRule="auto"/>
        <w:rPr>
          <w:rFonts w:ascii="Times New Roman" w:hAnsi="Times New Roman" w:cs="Times New Roman"/>
          <w:i/>
          <w:iCs/>
          <w:color w:val="000000"/>
        </w:rPr>
      </w:pPr>
      <w:r>
        <w:rPr>
          <w:rFonts w:ascii="Arial Narrow" w:hAnsi="Arial Narrow" w:cs="Arial Narrow"/>
          <w:i/>
          <w:iCs/>
          <w:color w:val="222222"/>
        </w:rPr>
        <w:t>Tűz- vagy robbanásveszély előidézése tűzvédelmi szabály megszegése miatt;</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Tűzoltóság beavatkozása szükséges, mert tűzvédelmi szabály megszegése következtében tűz keletkezett;</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A menekülésre számításba vett kijárat leszűkítése, lezárása;</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A menekülési útvonalon és azzal egy légteret alkotó helyiségrészben szabálytalan tárolás;</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Rendeltetéssel nem összefüggő elektromos berendezés felügyelet nélküli üzemeltetése;</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A menekülési útvonalak leszűkítése;</w:t>
      </w:r>
    </w:p>
    <w:p w:rsidR="005E6A3B" w:rsidRDefault="005E6A3B">
      <w:pPr>
        <w:numPr>
          <w:ilvl w:val="0"/>
          <w:numId w:val="11"/>
        </w:numPr>
        <w:tabs>
          <w:tab w:val="left" w:pos="331"/>
        </w:tabs>
        <w:spacing w:line="274" w:lineRule="auto"/>
        <w:ind w:left="331" w:hanging="331"/>
        <w:rPr>
          <w:rFonts w:ascii="Times New Roman" w:hAnsi="Times New Roman" w:cs="Times New Roman"/>
          <w:i/>
          <w:iCs/>
          <w:color w:val="000000"/>
        </w:rPr>
      </w:pPr>
      <w:r>
        <w:rPr>
          <w:rFonts w:ascii="Arial Narrow" w:hAnsi="Arial Narrow" w:cs="Arial Narrow"/>
          <w:i/>
          <w:iCs/>
          <w:color w:val="222222"/>
        </w:rPr>
        <w:t>Tűzvédelmi szakvizsgára kötelezett tevékenység nem megfelelő végzése, irányítása (műszaki követelményektől eltérően, továbbá érvényes tűzvédelmi szakvizsga hiánya);</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Tűzoltóság beavatkozásának akadályozása;</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Tűzoltási felvonulási út, terület biztosítása;</w:t>
      </w:r>
    </w:p>
    <w:p w:rsidR="005E6A3B" w:rsidRDefault="005E6A3B">
      <w:pPr>
        <w:numPr>
          <w:ilvl w:val="0"/>
          <w:numId w:val="11"/>
        </w:numPr>
        <w:tabs>
          <w:tab w:val="left" w:pos="331"/>
        </w:tabs>
        <w:spacing w:line="274" w:lineRule="auto"/>
        <w:rPr>
          <w:rFonts w:ascii="Arial Narrow" w:hAnsi="Arial Narrow" w:cs="Arial Narrow"/>
          <w:i/>
          <w:iCs/>
          <w:color w:val="222222"/>
        </w:rPr>
      </w:pPr>
      <w:r>
        <w:rPr>
          <w:rFonts w:ascii="Arial Narrow" w:hAnsi="Arial Narrow" w:cs="Arial Narrow"/>
          <w:i/>
          <w:iCs/>
          <w:color w:val="222222"/>
        </w:rPr>
        <w:t>Tűzvédelmi jogszabályok, szabályzat, szabványok egyéb előírásainak megszegése.</w:t>
      </w:r>
    </w:p>
    <w:p w:rsidR="005E6A3B" w:rsidRDefault="005E6A3B">
      <w:pPr>
        <w:spacing w:before="182" w:line="274" w:lineRule="auto"/>
        <w:jc w:val="both"/>
        <w:rPr>
          <w:rFonts w:ascii="Arial Narrow" w:hAnsi="Arial Narrow" w:cs="Arial Narrow"/>
          <w:b/>
          <w:bCs/>
          <w:i/>
          <w:iCs/>
          <w:color w:val="000000"/>
        </w:rPr>
      </w:pPr>
      <w:r>
        <w:rPr>
          <w:rFonts w:ascii="Arial Narrow" w:hAnsi="Arial Narrow" w:cs="Arial Narrow"/>
          <w:b/>
          <w:bCs/>
          <w:i/>
          <w:iCs/>
          <w:color w:val="000000"/>
        </w:rPr>
        <w:t>A tűzvédelmi előírásokban (jogszabályok, szabványok, Tűzvédelmi Használati Szabályzat, Tűzvédelmi Házirend stb.) foglaltak megszegése esetén a mulasztóval szemben felelősségre vonás kezdeményezhető. Fenti Tűzvédelmi Házirendben nem szabályozott kérdések vonatkozásában a kapcsolódó Tűzvédelmi Használati Szabályzatban, a tűzvédelmi- és tűzvédelmet érintő jogszabályokban, szabványokban, műszaki előírásokban stb. leírtakat kell betartani.</w:t>
      </w:r>
    </w:p>
    <w:p w:rsidR="005E6A3B" w:rsidRDefault="005E6A3B">
      <w:pPr>
        <w:rPr>
          <w:rFonts w:ascii="Times New Roman" w:hAnsi="Times New Roman" w:cs="Times New Roman"/>
          <w:sz w:val="20"/>
          <w:szCs w:val="20"/>
        </w:rPr>
      </w:pPr>
    </w:p>
    <w:p w:rsidR="005E6A3B" w:rsidRDefault="005E6A3B">
      <w:pPr>
        <w:spacing w:before="10"/>
        <w:rPr>
          <w:rFonts w:ascii="Arial Narrow" w:hAnsi="Arial Narrow" w:cs="Arial Narrow"/>
          <w:i/>
          <w:iCs/>
          <w:color w:val="000000"/>
        </w:rPr>
      </w:pPr>
      <w:r>
        <w:rPr>
          <w:rFonts w:ascii="Arial Narrow" w:hAnsi="Arial Narrow" w:cs="Arial Narrow"/>
          <w:i/>
          <w:iCs/>
          <w:color w:val="000000"/>
        </w:rPr>
        <w:t>Budapest, 2016. március 11.</w:t>
      </w:r>
    </w:p>
    <w:p w:rsidR="005E6A3B" w:rsidRDefault="005E6A3B">
      <w:pPr>
        <w:ind w:left="4090"/>
        <w:jc w:val="both"/>
        <w:rPr>
          <w:rFonts w:ascii="Times New Roman" w:hAnsi="Times New Roman" w:cs="Times New Roman"/>
          <w:sz w:val="20"/>
          <w:szCs w:val="20"/>
        </w:rPr>
      </w:pPr>
    </w:p>
    <w:p w:rsidR="005E6A3B" w:rsidRDefault="005E6A3B">
      <w:pPr>
        <w:ind w:left="4090"/>
        <w:jc w:val="both"/>
        <w:rPr>
          <w:rFonts w:ascii="Times New Roman" w:hAnsi="Times New Roman" w:cs="Times New Roman"/>
          <w:sz w:val="20"/>
          <w:szCs w:val="20"/>
        </w:rPr>
      </w:pPr>
      <w:r>
        <w:rPr>
          <w:rFonts w:ascii="Arial Narrow" w:hAnsi="Arial Narrow" w:cs="Arial Narrow"/>
          <w:i/>
          <w:iCs/>
        </w:rPr>
        <w:t xml:space="preserve">  Rostás Lajos sk.</w:t>
      </w:r>
    </w:p>
    <w:p w:rsidR="005E6A3B" w:rsidRDefault="005E6A3B">
      <w:pPr>
        <w:spacing w:before="10"/>
        <w:ind w:left="4090"/>
        <w:jc w:val="both"/>
        <w:rPr>
          <w:rFonts w:ascii="Times New Roman" w:hAnsi="Times New Roman" w:cs="Times New Roman"/>
          <w:i/>
          <w:iCs/>
          <w:color w:val="000000"/>
          <w:sz w:val="26"/>
          <w:szCs w:val="26"/>
        </w:rPr>
      </w:pPr>
      <w:r>
        <w:rPr>
          <w:rFonts w:ascii="Arial Narrow" w:hAnsi="Arial Narrow" w:cs="Arial Narrow"/>
          <w:i/>
          <w:iCs/>
          <w:color w:val="000000"/>
          <w:sz w:val="26"/>
          <w:szCs w:val="26"/>
        </w:rPr>
        <w:t>ügyvezető elnök</w:t>
      </w:r>
    </w:p>
    <w:sectPr w:rsidR="005E6A3B" w:rsidSect="00303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804"/>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F1DB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B7E70"/>
    <w:multiLevelType w:val="multilevel"/>
    <w:tmpl w:val="FFFFFFF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5C19DA"/>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BF4F9A"/>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4458B"/>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7514E"/>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B0941"/>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214307"/>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D8193F"/>
    <w:multiLevelType w:val="multilevel"/>
    <w:tmpl w:val="FFFFFFF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37E0E"/>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9"/>
  </w:num>
  <w:num w:numId="4">
    <w:abstractNumId w:val="2"/>
  </w:num>
  <w:num w:numId="5">
    <w:abstractNumId w:val="0"/>
  </w:num>
  <w:num w:numId="6">
    <w:abstractNumId w:val="3"/>
  </w:num>
  <w:num w:numId="7">
    <w:abstractNumId w:val="10"/>
  </w:num>
  <w:num w:numId="8">
    <w:abstractNumId w:val="6"/>
  </w:num>
  <w:num w:numId="9">
    <w:abstractNumId w:val="7"/>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402"/>
    <w:rsid w:val="00303365"/>
    <w:rsid w:val="003A0494"/>
    <w:rsid w:val="003E4402"/>
    <w:rsid w:val="005E6A3B"/>
    <w:rsid w:val="006F39E7"/>
    <w:rsid w:val="007E1ADA"/>
    <w:rsid w:val="00CD0DE2"/>
    <w:rsid w:val="00ED370D"/>
    <w:rsid w:val="00EF1D9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98"/>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1692</Words>
  <Characters>11682</Characters>
  <Application>Microsoft Office Outlook</Application>
  <DocSecurity>0</DocSecurity>
  <Lines>0</Lines>
  <Paragraphs>0</Paragraphs>
  <ScaleCrop>false</ScaleCrop>
  <Company>Óceán Lakásfenntartó Szövetkezet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TŰZVÉDELMI HÁZIREND</dc:title>
  <dc:subject/>
  <dc:creator>Rostás Lajos</dc:creator>
  <cp:keywords/>
  <dc:description/>
  <cp:lastModifiedBy>Rostás Lajos</cp:lastModifiedBy>
  <cp:revision>2</cp:revision>
  <dcterms:created xsi:type="dcterms:W3CDTF">2016-03-30T06:59:00Z</dcterms:created>
  <dcterms:modified xsi:type="dcterms:W3CDTF">2016-03-30T06:59:00Z</dcterms:modified>
</cp:coreProperties>
</file>